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01.03.2023 применены последствия недействительности сделки в виде взыскания с кооператива 375 000 рублей в конкурсную массу должника. Четвертый арбитражный апелляционный суд постановлением от 29.05.2023 изменил определение от 01.03.2023 в части применения последствий, восстановив требование кооператива к должнику в размере 375 000 рублей и взыскав с кооператива в конкурсную массу 375 000 рублей. Арбитражный суд Восточно-Сибирского округа постановлением от 20.09.2023 постановление апелляционного суда от 29.05.2023 оставил без изменения. 2 В кассационной жалобе кооператив просит об отмене судебных актов, ссылаясь на наличие основания для прекращения производства по заявлению, отсутствие условий для недействительности сделки как совершенной с предпочтением.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Сделка по передаче имущества состоялась после введения в отношении должника процедуры банкротства, поэтому апелляционный суд признал необходимость применения последствий установленной ранее её недействительности по правилам распределения в том числе находящегося в залоге имущества должника, которые не составляли предмета обсуждения судов в ранее рассмотренном споре. Последствия недействительности сделки применены апелляционным судом в соответствии пунктом 29.3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кредитному потребительскому кооперативу «Городское сберегательное отделение»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