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Северо-Кавказского округа от 20.09.2023, оставленным без изменения определением того же суда от 02.11.2023, жалоба Денисова В.К. на определение Арбитражного суда Краснодарского края от 17.02.2023 и постановление Пятнадцатого арбитражного апелляционного суда от 27.07.2023 возвращена в связи с пропуском срока подачи и отказом в восстановлении срока. В кассационной жалобе Денисов В.К. просит отменить судебные акты как нарушающие право на судебную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отсутствие у приведенной должником причины пропуска срока на подачу кассационной жалобы объективного характера, что влечет отказ в восстановлении срока.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Виктору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