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27.04.2023, оставленным без изменения постановлением Девятого арбитражного апелляционного суда от 07.09.2023 и постановлением Арбитражного суда Московского округа от 12.12.2023, требования ООО «Персонал» включены в третью очередь реестра. В кассационных жалобах Агамирзаев А.А. и ООО «ДК Паллада-Тверь» просят об отмене судебных актов, ссылаясь на отсутствие преюдиции и недействительность поручительства.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кредиторы оспаривали поручительство в связи с тем, что оно обеспечивало сфальсифицированное обязательство по поставке. При таких обстоятельствах суды правомерно руководствовались результатом рассмотрения дела об исполнении договора поставки, в котором с основного должника взыскана задолженность и решение по которому кредиторами не обжаловалось, и признали основанное на поручительстве должника требование отвечающим статьям 71, 100 Федерального закона от 26.10.2002 № 127-ФЗ «О несостоятельности (банкротстве)» для включения в реестр.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Агамирзаеву Адлану Абдуловичу и обществу с ограниченной ответственностью «Девелоперская компания Паллада-Тверь»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