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17.05.2023 заявление удовлетворено. Постановлением Девятого арбитражного апелляционного суда от 09.08.2023 определение отменено, в удовлетворении заявления отказано. Постановлением Арбитражного суда Московского округа от 30.11.2023 постановление апелляционного суда от 09.08.2023 отменено, определение суда первой инстанции от 17.05.2023 оставлено в силе. В кассационных жалобах должник и ответчик просят об отмене определения суда первой инстанции и постановления окружного суда, ссылаясь на правильную оценку сделки апелляционным судом и юридическое закрепление не оспоренным брачным договором раздельного режима собственности супругов.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 первой инстанции установил отчуждение супругой должника недвижимости, находившейся в совместной собственности, после принятия судом решения о признании должника банкротом во вред интересам имеющихся кредиторов, что в силу статей 10, 168 Гражданского кодекса Российской Федерации создало условия для недействительности сделки.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Внесудебное изменение супругами режима собственности на совместное имущество при наличии неисполненных обязательств перед кредиторами, образовавшихся в период нахождения спорной недвижимости в общей собственности, признано судами не влекущим правовых последствий для не участвовавших в нем кредиторов должника (пункт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Курятникову Алексею Валерьевичу и Кошелеву Роману Михайловичу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