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13.06.2023, оставленным без изменения постановлением Семнадцатого арбитражного апелляционного суда от 17.08.2023 и постановлением Арбитражного суда Уральского округа от 25.10.2023, разногласия разрешены: Кувалдин С.Н. как кредитор, принявший нереализованное имущество должника по соглашению об отступном от 29.06.2020, обязан перечислить в конкурсную массу Бузиной Т.В. сумму для погашения обязательств перед другими кредиторами приоритетной очередности в размере 241 078 рублей 12 копеек. В кассационной жалобе Кувалдин С.Н. просит об отмене судебных актов, ссылаясь на противоречие их ранее принятым судебным актам, нерассмотрение ходатайств.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Обязание кредитора к исполнению возложенных обязанностей основано на пункте 3 статьи 142.1 Федерального закона от 26.10.2002 № 127-ФЗ «О несостоятельности (банкротстве)» и условиях соглашения об отступном, утвержденных собранием кредиторов. В указанной ситуации доводы кредитора о несоответствии судебных актов статьям 65, 69 Арбитражного процессуального кодекса Российской Федерации являются неосновательными и правомерно отклонены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Кувалдину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