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08.02.2023, оставленным без изменения постановлением Девятого арбитражного апелляционного суда от 02.05.2023 и постановлением Арбитражного суда Московского округа от 29.08.2023, заявление кредитора признано обоснованным, в отношении должника введена процедура реструктуризации долгов, требование кредитора включено в третью очередь реестра как обеспеченные залогом имущества должника, утвержден финансовый управляющий. В кассационной жалобе Колесникова Н.А. просит об отмене судебных актов, ссылаясь на неосновательное возбуждение дела о банкротстве и недобросовестные действия банка, игнорирование возможности погашения долгов вне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подлежащей включению в реестр задолженности основаны на представленных доказательствах и соответствуют статьям 213.3, 213.5, 213.6 Федерального закона от 26.10.2002 № 127-ФЗ «О несостоятельности (банкротстве)». Процедура реструктуризации долгов применена судами в качестве восстановительной процедуры, в рамках которой для должника должны быть установлены объем долгов и возможные источники их погашения.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Колесниковой Наталии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