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18.07.2023, оставленным без изменения постановлением Семнадцатого арбитражного апелляционного суда от 11.09.2023 и постановлением Арбитражного суда Уральского округа от 14.12.2023, в удовлетворении заявления отказано. В кассационной жалобе Дикий Е.В. просит об отмене судебных актов, ссылаясь на ненадлежащую оценку поведения управляющего. В силу части 1 статьи 291.11 Арбитражного процессуального кодекса Российской Федерации основаниями для отмены ил 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 отсутствие вменяемых нарушений для применения к управляющему требуемой меры, поэтому отклонили заявление в соответствии со статьями 20.3, 60, 213.9 Федерального закона от 26.10.2002 № 127-ФЗ «О несостоятельности (банкротстве)» и их судебного толкования. Иная оценка действий управляющего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Дикому Евгению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