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16.02.2023 в удовлетворении заявления отказано. Постановлением Восемнадцатого арбитражного апелляционного суда от 31.07.2023, оставленным без изменения постановлением Арбитражного суда Уральского округа от 30.10.2023, определение суда первой инстанции отменено, имущество исключено из конкурсной массы должника. В кассационной жалобе Нигматуллина А.А. просит об отмене постановлений судов апелляционной и кассационной инстанций, ссылаясь на игнорирование обстоятельств для снятия и ограничения исполнительского иммунитета.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у должника иного пригодного для проживания жилого помещения и таких признаков злоупотребления, которые в силу постановления Конституционного Суда Российской Федерации от 26.04.2021 № 15-П допускают снятие исполнительского иммунитета; кредитор не ссылается на чрезмерные количественные и качественные характеристиках спорного жилья, влекущие в силу того же постановления рассмотрение вопроса о замещающем жилье, поэтому требование должника удовлетворено в соответствии со статьей 446 Гражданского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Нигматуллиной Аклиме Ансаровне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