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05.06.2023, оставленным без изменения постановлением Второго арбитражного апелляционного суда от 18.08.2023 и постановлением Арбитражного суда Волго-Вятского округа от 28.11.2023, заявление возвращено.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Установив, что должником не устранены обстоятельства, послужившие основанием для оставления заявления без движения в срок, установленный в определении суда, суд первой инстанции возвратил заявление в соответствии с пунктом 4 части 1 статьи 129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