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05.06.2023, оставленным без изменения постановлением Второго арбитражного апелляционного суда от 21.08.2023 и постановлением Арбитражного суда Волго-Вятского округа от 29.11.2023, заявление возвращено.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Установив, что должником не устранены обстоятельства, послужившие основанием для оставления заявления без движения в срок, установленный в определении суда, суд первой инстанции возвратил заявление в соответствии с пунктом 4 части 1 статьи 129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