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22.05.2023, оставленным без изменения постановлением Второго арбитражного апелляционного суда от 31.08.2023 и постановлением Арбитражного суда Волго-Вятского округа от 27.11.2023, заявление удовлетворено. В кассационной жалобе Соколов Н.М. просит отменить судебные акты, ссылаясь на недействительность сделки, на которой основано правопреемство.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состоявшийся переход прав от первоначального кредитора к новому, поэтому произвели замену в соответствии со статьей 48 Арбитражного процессуального кодекса Российской Федерации и статьями 382, 384 Гражданского кодекса Российской Федерации и их судебным толкованием. Возражения против замены, изложенные в жалобе, были предметом рассмотрения и оценки судов и их выводов не опровергают.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