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19.04.2023, оставленным без изменения постановлением Семнадцатого арбитражного апелляционного суда от 28.07.2023 и постановлением Арбитражного суда Уральского округа от 23.10.2023, иск удовлетворен. В кассационной жалобе общество «Купец» просит об отмене судебных актов, ссылаясь на наличие у взыскиваемой суммы признаков неустойки, подлежащей уменьшению, недобросовестное поведение истца, влекущее отказ в иске и возложение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выводов о сроке оборачиваемости вагонов, характере платежа за нарушение срока договору от 07.07.2022 № НТК/2022-56 и статьям 421, 431, 333 Гражданского кодекса Российской Федерации. Недобросовестность и применение ее последствий не были предметом рассмотрения судов, поэтому довод жалобы о них не подлежит обсуждению.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«Купец»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