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16.03.2023, оставленным без изменения постановлением Шестнадцатого арбитражного апелляционного суда от 29.08.2023 и постановлением Арбитражного суда Северо-Кавказского округа от 18.12.2023, иск удовлетворен. В кассационных жалобах заявители просят об отмене судебных актов, ссылаясь на принятие ненадлежащего доказательства опыта осуществления истцами перевозок, неосновательный вывод о технических характеристиках используемых победителями транспортных средств, недостижение восстановления прав истцов вследствие недействительности итогов конкурса.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Вопросы доказывания и оценки доказательств применительно к действовавшему федеральному и краевому законодательству компетентно разрешены судами. Право истцов как заинтересованных лиц на оспаривание конкурса основано на статье 449 Гражданского кодекса Российской Федерации. Результат рассмотрения спора затрагивает интересы неопределенного круга лиц, поэтому потенциальное восстановление прав истцов его не изменяет.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Михно И.Л., индивидуальному предпринимателю Айрапетяну Р.А., Министерству дорожного хозяйства и транспорта Ставропольского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