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Ульяновской области от 17.04.2023, оставленным без изменения постановлением Одиннадцатого арбитражного суда от 28.07.2023 и постановлением Арбитражного суда Поволжского округа от 27.10.2023, взыскано 173 174 рублей провозной платы и 4 014 010 рублей стоимости поврежденного груза. В кассационной жалобе общество «Союз-Логистик» просит об отмене судебных актов, ссылаясь на неосновательное возложение ответственности, нарушение прав вследствие отклонения ходатайства о назначении экспертизы, принятие ненадлежащего доказательства.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Суды, установив осуществление обществом «Союз-Логистик» перевозки груза с отступлением от необходимого температурного режима, удовлетворили иск в силу статей 15, 393, 793, 796 Гражданского кодекса Российской Федерации. Вопросы доказывания и оценки доказательств не создают оснований для кассационного пересмотра судебных актов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«Союз-Логистик»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