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предприятие 20.02.2024 подает кассационную жалобу с ходатайством о восстановлении срока, пропуск которого обосновывает опубликованием 20.12.2023 полного текста постановления Арбитражного суда Московского округа от 19.12.2023. Согласно частям 1, 2 статьи 291.2 Арбитражного процессуального кодекса Российской Федерации (далее – Кодекс) срок подачи кассационной жалобы исчисляется со дня вступления в законную силу последнего обжалуемого судебного акта и может быть восстановлен при наличии не зависящих от заявителя причин пропуска. В соответствии с частью 5 статьи 289 Кодекса постановление окружного суда от 19.12.2023 вступило в силу со дня его принятия в полном объеме – 19.12.2023. Официальное опубликование текста судебного акта на следующий день после изготовления в полном объеме указывает на отсутствие нарушения судом срока его направления (часть 1 статьи 177 Кодекса) и отсутствие объективных препятствий для подачи кассационной жалобы в установленный срок. Указанная причина пропуска срока не создает основания для восстановления срока, поэтому кассационная жалоба подлежит возвращению, но в связи с подачей документов в электронном виде – не рассматривается по существу, а уплаченная за ее подачу государственная пошлина – не возвращается настоящим определением. Руководствуясь статьями 184 ,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Дзержинскому муниципальному унитарному предприятию «Энерго-коммунальное производственное объединение» в восстановлении срока подачи кассационной жалобы на постановление Арбитражного суда Московского округа от 19.12.2023 по делу № А41-26591/2023 Арбитражного суда Московской области.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АНО ДЗЕРЖИНСКОЕ МУНИЦИПАЛЬНОЕ УНИТАРНОЕ ПРЕДПРИЯТИЕ ЭНЕРГО-КОММУНАЛЬНОЕ ПРОИЗВОДСТВЕННОЕ ОБЪЕДИНЕНИЕ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