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Руководствуясь статьями 184 , 185 , 2912 Арбитражного процессуального кодекса Российской Федерации, статьями 64 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«Строй Проект»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 Суд: Верховный Суд РФ (подробнее) Истцы: ООО "Комтех" (подробнее) Ответчики: ООО "ЭНВОЛ" (подробнее) Иные лица: к/у Вершинин А.В. (подробнее) ООО "Строй Проект"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