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25.04.2023, оставленным без изменения постановлением Девятого арбитражного апелляционного суда от 01.08.2023 и постановлением Арбитражного суда Московского округа от 25.10.2023, в удовлетворении заявления отказано. В кассационной жалобе Соколов А.А. просит об отмене судебных актов, ссылаясь на неправильную оценку обстоятельств заключения сделок.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кассационной жалобы не усматривается. Исследованные обстоятельства заключения сделок суды признали не создающими условий для недействительности в силу статьи 61.2 Федерального закона от 26.10.2002 № 127-ФЗ «О несостоятельности (банкротстве)» и статей 10, 168 Гражданского кодекса Российской Федерации. Отличная от судебной оценка тех же обстоятельств не влечет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Соколову Артему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