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18.05.2023 взыскано 513,8 долларов США неустойки за просрочку уплаты фрахта в эквивалентной в рублях сумме по курсу Центрального банка Российской Федерации на день платежа. Пятый арбитражный апелляционный суд постановлением от 02.08.2023 изменил решение от 18.05.2023 и взыскал 2 319 659 рублей 75 копеек убытков и 513,8 долларов США неустойки за просрочку уплаты фрахта в эквивалентной в рублях сумме по курсу Центрального банка Российской Федерации на день платежа. Арбитражный суд Дальневосточного округа постановлением от 14.11.2023 постановление апелляционного суда от 02.08.2023 оставил без изменения. В кассационной жалобе общество «СДС Шиппинг» просит об изменении судебных актов в части, ссылаясь на неверную правовую квалификацию демереджа как ответственности и неправильный расчет неустойки.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Правовая природа демереджа определена в соответствии с судебным его толкованием. Размер неустойки с учетом действия моратория проверен судами и его изменение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«СДС Шиппинг»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