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04.07.2023, оставленным без изменения постановлением Шестнадцатого арбитражного апелляционного суда от 30.08.2023 и постановлением Арбитражного суда Северо-Кавказского округа от 21.11.2023, в удовлетворении заявления отказано. В кассационной жалобе ФИО1 просит об отмене судебных актов, ссылаясь на отсутствие оценки имущества, приведшее к продаже по заниженной стоимости.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исходили из предусмотренного законом права залогового кредитора на определение условий реализации имущества должника (статьи 138 , 213.26 Федерального закона от 26.10.2002 № 127-ФЗ «О несостоятельности (банкротстве)». Первоначально установленная цена снижена в отсутствие покупателей на первых и повторных торгах и не состоит в причинно-следственной связи с какими-либо нарушениями процедуры реализации, поэтому требования отклонены в соответствии со статьей 449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"МИнБанк" (подробнее) Иные лица: Гранькин Ю.А. (а/упр. Каниховой М.Х.) (подробнее) НП "МСОПАУ" (подробнее) Отдел ЗАГСА Баксанского Муниципального района (подробнее) ПАО "Промсвязьбанк" (подробнее) Пономарев А.Ю. (арб. упр. Каниховой М.Х.) (подробнее) Шестнадцатый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