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02.06.2023, оставленным без изменения постановлением Восемнадцатого арбитражного апелляционного суда от 10.08.2023 и постановлением Арбитражного суда Уральского округа от 23.10.2023, в удовлетворении заявления отказано. В кассационной жалобе Кирсанов А.А. просит об отмене судебных актов, ссылаясь на ненадлежащую оценку обстоятельств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отсутствие вменяемых нарушений, которые могли бы повлечь требуемую ответственность, поэтому отклонили заявление в силу статьи 69 Арбитражного процессуального кодекса Российской Федерации, статей 20.3, 20.4, 60, 213.9 Федерального закона от 26.10.2002 № 127-ФЗ «О несостоятельности (банкротстве)», статей 15, 1064 Гражданского кодекса Российской Федерации и их судебного толкования. Иная оценка заявителем действий финансового управляющего является субъективной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Кирсанову Александру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