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30.05.2023, оставленным без изменения постановлением Тринадцатого арбитражного апелляционного суда от 31.08.2023 и постановлением Арбитражного суда Северо-Западного округа от 12.12.2023, заявление удовлетворено. В кассационной жалобе Парамонов Е.В.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оспариваемые решения нарушившими права банка как залогового кредитора, основанные на судебном решении, и принятые с нарушением компетенции в соответствии со статьями 15, 213.8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