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07.04.2023, оставленным без изменения постановлением Тринадцатого арбитражного апелляционного суда от 04.08.2023 и постановлением Арбитражного суда Северо-Западного округа от 06.12.2023, в удовлетворении заявления отказано. В кассационной жалобе Парамонова О.Г. просит об отмене судебных актов, ссылаясь на производность незаконности оспариваемого действия по выдаче доверенности заинтересованному по отношению к кредитору лицу производна от основания отстранения управляющего от исполнения обязанностей.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Оценка действий финансового управляющего зависит от последствий, которые повлекли оспариваемые действия. Суды установили, что представителями управляющего независимо от персоналий совершены действия в рамках процедур банкротства, соответствующие закону и не повлекшие нарушения чьих-либо прав. Условия для отстранения управляющего от исполнения обязанностей отличны от условий незаконности действий, на что правильно указали суды.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Парамоновой Ольге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