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26.10.2023, оставленным без изменения постановлением Пятнадцатого арбитражного апелляционного суда от 22.11.2023, заявление удовлетворено. В кассационной жалобе Будник Ю.И. просит об отмене судебных актов, указывая, что заявитель является наследником должника и не обладает правом на погашение долгов путем обращения с указанным заявлением, наличие иных требований кредиторов, не учтенных судом при удовлетворении заявления.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Доводы, приведенные в кассационной жалобе, являлись предметом рассмотрения судов, получили надлежащую правовую оценку и не содержат оснований для пересмотра обжалуемых судебных актов в кассационном порядке Верховным Судом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финансового управляющего Будник Юлии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