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24.04.2023, оставленным без изменения постановлением Девятого арбитражного апелляционного суда от 10.07.2023 и постановлением Арбитражного суда Московского округа от 25.10.2023, в удовлетворении заявления отказано. В кассационных жалобах общество «Интертехпроект» и публичное акционерное общество «Банк ВТБ» просят об отмене судебных актов, ссылаясь на неустановление значимых обстоятельств, неправильное распределение бремени доказывания и применение преюдиции.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Суды установили, что оспариваемые сделки обеспечивали исполнение кредитного обязательства, возникшего ранее обязательства должника перед ПАО «Банк ВТБ», и иной, кроме обеспечительной, цели не преследовали, поэтому не попадают под недействительные в силу статей 10, 168, 170 Гражданского кодекса Российской Федерации, по которым оспаривались заявителями. Ссылки на судебные акты, в которых обсуждался вопрос об аффилированности участников сделок, приведены в связи с доводом заявителей о ней. Вопросы доказывания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«Интертехпроект» и публичному акционерному обществу «Банк ВТБ»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