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20.04.2023, оставленным без изменения постановлением Девятого арбитражного апелляционного суда от 18.07.2023 и постановлением Арбитражного суда Московского округа от 23.10.2023, заявление удовлетворено. В кассационной жалобе Крапивка Е.Н. просит об отмене судебных актов, ссылаясь на неправильно установленные и оцененные обстоятельства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спорной недвижимости в пользу заинтересованного лица при наличии неисполненных обязательств суды признали создающим в силу пункта 2 статьи 61.2 Федерального закона от 26.10.2002 № 127-ФЗ «О несостоятельности (банкротстве)» условия для недействительности сделки. Иная оценка обстоятельств заключения договора не попадает под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Крапивка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