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Омской области от 19.05.2023, оставленным без изменения постановлением Восьмого арбитражного апелляционного суда от 21.09.2023 и постановлением Арбитражного суда Западно-Сибирского округа от 28.11.2023, в удовлетворении заявления отказано. В кассационной жалобе ФИО1 просит об отмене судебных актов как незаконных.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учитывая продажу имущества на публичных торгах, проведенных в рамках исполнительного производства, установили невозможность ее оспаривания в силу пункта 1 статьи 61.4 Федерального закона от 26.10.2002 № 127-ФЗ «О несостоятельности (банкротстве)». Довод о проведении торгов в период действия моратория на банкротство правомерно отклонен.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Арбитражный суд Западно-Сибирского округа (подробнее) Межрайонный отдел технического надзора и регистрации автомототранспортных средств ГИБДД УМВД России по Омской области (подробнее) отдел судебных присавов по Кировскому административному округу г. Омска УФССП по Омской области (подробнее) Подразделение по вопросам миграции УМВД России по Омской области (подробнее) Управление Федеральной службы государственной регистрации, кадастра и картографии по Омской области (подробнее) Филиал ФБГУ "ФКП Росреестра" по Омской области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