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заявления определением Арбитражного суда города Москвы от 06.04.2023, оставленным без изменения постановлением Девятого арбитражного апелляционного суда от 24.07.2023 и постановлением Арбитражного суда Московского округа от 05.10.2023, в удовлетворении заявления отказано в связи с пропуском срока исковой давности, о применении которой заявил должник. В кассационной жалобе общество «МФК «МГИиС» просит об отмене судебных актов, ссылаясь на неосновательность выводов об отсутствии у кредитора прав залогодержателя и пропуске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Непредъявление правопреемниками кредитора требований, возникающих из договора займа, не влияет на исчисление срока исковой давности для кредитора, право должника на заявление о применении которой до принятия судебного акта по спору основано на законе. Другие доводы поглощаются последствием, наступающим вследствие применения исковой давности.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«МФК «МГИиС»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