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28.05.2023, оставленным без изменения постановлением Восемнадцатого арбитражного апелляционного суда от 08.08.2023 и постановлением Арбитражного суда Уральского округа от 17.10.2023, заявление удовлетворено. В кассационной жалобе Гизатулин Р.А. просит об отмене судебных актов, ссылаясь на неправильную оценку обстоятельств, послуживших основанием возникновения требований кредитора.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об обоснованности заявления при наличии несложенного определением о завершении процедур банкротства обязательства должника по возмещению ущерба, причиненного кредитору в результате ДТП, основаны на исследованных доказательствах и соответствуют статьям 69, 319 Арбитражного процессуального кодекса Российской Федерации, пунктам 5, 6 статьи 213.28 Федерального закона от 26.10.2002 № 127-ФЗ «О несостоятельности (банкротстве)». Иная оценка должником установленных обстоятельств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Гизатулину Рафаилю Абдулкаюмовичу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