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16.02.2024 обратилось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Московского округа от 13.10.2023, срок на обжалование которого истек 13.12.2023. Обратившись с кассационной жалобой 16.02.2024, заявитель пропустил установленный законодательством срок на ее подачу. 2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В обоснование пропуска срока заявитель ссылается на устранение недостатков, послуживших основанием для возврата первоначально поданной кассационной жалобы.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Первоначально поданная обществом в электронном виде 08.12.2023 кассационная жалоба возвращена заявителю без рассмотрения по существу на основании пункта 1 части 1 статьи 2915 АПК РФ, поскольку в нарушение пункта 2 части 5 статьи 2913 АПК РФ к жалобе не приложены документы, подтверждающие уплату государственной пошлины в установленном размере и порядке. Обращаясь повторно 16.02.2024 с аналогичной кассационной жалобой, обществом приложено платежное поручение об уплате государственной пошлины от 08.02.2024 № 21769, то есть ее уплата состоялась за пределами установленного срока. Повторное обращение с кассационной жалобой после устранения недостатков, послуживших основанием к возврату кассационной жалобы, не может быть признано уважительной причиной несвоевременного обращения с кассационной жалобой, поскольку соблюдение требований АПК РФ, определяющих порядок обжалования судебных актов, является обязанностью лица, подающего жалобу.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Подача кассационной жалобы после устранения причин несоблюдения порядка обращения не прерывает срок для подачи жалобы и не может служить уважительной причиной его пропуска. 3 Обращение с ходатайством о восстановлении процессуального срока на обжалование судебных актов в пределах шестимесячного срока само по себе не является безусловным основанием для его восстановления. Лица, участвующие в деле, несут риск наступления последствий совершения или несовершения ими процессуальных действий (статья 9 АПК РФ).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«Деловые линии» в удовлетворении ходатайства о восстановлении пропущенного процессуального срока. Кассационную жалобу на решение Арбитражного суда Московской области от 14.04.2023, постановление Десятого арбитражного апелляционного суда от 26.06.2023 и постановление Арбитражного суда Московского округа от 13.10.2023 по делу № А41-99873/2022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