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февраля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12.02.2024 направил в Верховный Суд Российской Федерации кассационную жалобу на указанные судебные акты и одновременно заявил ходатайство о восстановлении пропущенного срока.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силу части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2 Уважительными причинами пропуска срока для обжалования судебного акта признаются такие причины, которые объективно препятствовали участнику процесса своевременно подать жалобу. Заявитель являлся инициатором кассационного обжалования в суде округа, судебный акт своевременно размещен в информационной базе «Картотека арбитражных дел» сети Интернет и с этого момента был доступен для ознакомления и подготовки жалобы. При этом в соответствии с частями 1 и 6 статьи 2913 Арбитражного процессуального кодекса Российской Федерации, заявитель имел возможность обратиться в Верховный Суд Российской Федерации путем подачи кассационной жалобы в электронном виде посредством заполнения форм, размещенных на официальном сайте суда в сети Интернет, с использованием системы «Мой Арбитр», при том, что согласно Порядку подачи документов в электронном виде с использованием указанной системы не требуется получение заверенных копий обжалуемых судебных актов. В силу части 2 статьи 9 Арбитражного процессуального кодекса Российской Федерации лица, участвующие в деле, несут риск наступления последствий совершения или несовершения ими процессуальных действий. Произвольное восстановление процессуального срока на обжалование судебного акта нарушало бы принцип равноправия сторон, установленный статьей 8 Арбитражного процессуального кодекса Российской Федерации. В силу пункта 3 части 1 статьи 2915 Кодекса отказ в удовлетворении ходатайства о восстановлении пропущенного срока является основанием для возвращения кассационной жалобы без рассмотрения по существу. Руководствуясь статьями 117, 184,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общества с ограниченной ответственностью «ИнтерПак» о восстановлении пропущенного срока отказать, кассационную жалобу возвратить заявителю.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