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28.06.2023, оставленным без изменения постановлением Третьего арбитражного апелляционного суда от 30.08.2023 и постановление Арбитражного суда Восточно-Сибирского округа от 07.11.2023, заявление удовлетворено на сумму в 78 000 рублей. В кассационной жалобе банк просит об отмене судебных актов, ссылаясь на ненахождение расходов в причинно-следственной связи с действиями банка в рамках спора, в котором он возражал против требований заявителя.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постановлениям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конкретного спора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Акцепт»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