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10.11.2023, оставленным без изменения постановлением Девятого арбитражного апелляционного суда от 13.12.2023, в удовлетворении заявления отказано. В кассационной жалобе Шкарупин М.В. просит об отмене судебных актов, ссылаясь на ненадлежащее уведомление апелляционным судом о рассмотрении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Доводов по существу судебных актов кассационная жалоба не содержит. Довод о ненадлежащем извещении управляющего о рассмотрении его апелляционной жалобы противоречит части 6 статьи 121 Арбитражного процессуального кодекса Российской Федерации и не влечет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Шкарупину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