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09.02.2023, оставленным без изменения постановлением Десятого арбитражного апелляционного суда от 12.07.2023 и постановлением Арбитражного суда Московского округа от 20.10.2023, взыскано 43 700 рублей неустойки. В кассационной жалобе акционерное общество «Рефсервис» просит об отмене судебных актов, ссылаясь на неправильное определение соотношения заключенного сторонами соглашения с действующими у истца правилами.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установили, что заключенное между сторонами соглашение предусматривает приоритет над действующими у истца правилами, не изменялось в связи с принятием новых правил, соотношению соглашения и правил дана оценка судами в ранее рассмотренных аналогичных спорах, разрешенных по вопросу о размере неустойки в пользу ответчика, поэтому приняли единообразное с предшествовавшими судебными актами решение.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«Рефсервис»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