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16.02.2023, оставленным без изменения постановлением Седьмого арбитражного апелляционного суда от 17.05.2023 и постановлением Арбитражного суда Западно-Сибирского округа от 19.10.2023, взыскано 2 727 813 рублей 60 копеек задолженности, 734 202 рубля 86 копеек неустойки, неустойки с 20.10.2022 на неоплаченную сумму долга по ставке 0,2% за каждый день просрочки по день фактического исполнения обязательства. В кассационной жалобе общество «Ривьерауглесервис» просит об отмене судебных актов, ссылаясь на принятие ненадлежащих доказательств размера требований.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в том числе размера требований, компетентно разрешены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«Ривьерауглесервис»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