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Арбитражного суда Краснодарского края от 25.07.2023, оставленным без изменения постановлением Пятнадцатого арбитражного апелляционного суда от 29.09.2023 и постановлением Арбитражного суда Северо-Кавказского округа от 13.12.2023, в удовлетворении заявления отказано в связи с пропуском срока исковой давности, о применении которой заявил должник. В кассационной жалобе Лотникова Г.К. просит об отмене судебных актов, ссылаясь на игнорирование судами обстоятельств, свидетельствующих о недействительности сделки по общегражданским основаниям.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Обстоятельств, создающих условия для недействительности сделки в силу общегражданских оснований, суды не установили. Отличная от судебной оценка действий должника не создает обозначенных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Лотниковой Галине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