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Определением судьи Верховного Суда Российской Федерации от 25.12.2023 заявителю предоставлена отсрочка уплаты государственной пошлины до окончания рассмотрения кассационной жалобы. Учитывая, что производство по рассмотрению кассационной жалобы завершено, государственная пошлина в размере 3000 рублей подлежит взысканию с общества с ограниченной ответственностью «Фьюэл Сервис Компани» в доход федерального бюджета.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«Фьюэл Сервис Компани» в передаче кассационной жалобы для рассмотрения в судебном заседании Судебной коллегии по экономическим спорам Верховного Суда 2 Российской Федерации. Взыскать с общества с ограниченной ответственностью «Фьюэл Сервис Компани» в доход федерального бюджета государственную пошлину в размере 3000 (трех тысяч) рублей за рассмотрение кассационной жалобы Верховным Судом Российской Федерации. Арбитражному суду города Москвы выдать исполнительный лист на взыскание государственной пошлины.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