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Московской области с иском к обществу с ограниченной ответственностью «Вайлдберриз» (далее – Общество) о взыскании 1 879 102 рублей неосновательного обогащения и 31791 рубля в возмещение расходов по уплате государственной пошлины. Решением Арбитражного суда Московской области от 19.05.2023, оставленным без изменения постановлением Десятого арбитражного апелляционного суда от 04.08.2023 и постановлением Арбитражного суда Московского округа от 21.11.2023,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создание продавцом заявки от 25.08.2022 для завоза товара не является основанием для применения тарифа на приемку ввозимого товара, действующего на дату создания заявки, так как первая приемка товара была осуществлена только 06.09.2022.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Предпринимателем (продавец) и Обществом заключен договор о реализации товара на сайте https://wildberries.ru путем акцептирования истцом оферты ответчика. Предприниматель создал 25.08.2022 заявку № 8636569 на поставку товара на склад Общества, в результате чего ответчику начислено 1 879 102 рубля за приемку товара (с учетом тарифов, действующих с 25.08.2022). По мнению истца, ответчик неправомерно начислил указанную денежную сумму в счет стоимости услуг по приемке товаров, в связи с чем удержанные 1 879 102 рубля подлежат возврату. Поскольку инициированный и реализованный досудебный порядок урегулирования спора не принес положительного результата, Предприниматель обратился в арбитражный суд с настоящим иском. Исследовав и оценив по правилам статьи 71 АПК РФ представленные доказательства, руководствуясь статьями 309 , 310 , 1005 , 1011 Гражданского кодекса Российской Федерации, суды отказали в удовлетворении требований, исходя из того, что создавая заявку на поставку и осуществляя отгрузку товара после вступления в действие тарифов на приемку (с 25.08.2022), Предприниматель осознавал, что ему будет начислена стоимость приемки по актуальным тарифам. Утверждение истца о создании им заявки ранее 25.08.2022 документально не подтверждено. Кроме того, исходя из анализа положений заключенного между сторонами договора, судами сделан правомерный вывод об обязанности истца самостоятельно отслеживать портал на предмет изменения условий начисления тарифов, поскольку пунктом 6.1. стороны предусмотрели право ответчика в одностороннем порядке вносить изменения и/или дополнения (далее - изменения) в договор, а также в любые правила и иные документы, указанные в пункте 7.6 договора. Изменения могут вноситься, в том числе, в виде новой редакции текста оферты, правил или иного документа.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Сабирова Сания Ш (подробнее) Ответчики: ЗАО ОБЩЕСТВО С ОГРАНИЧЕННОЙ ОТВЕТСТВЕННОСТЬЮ ВАЙЛДБЕРРИЗ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