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Десятого арбитражного апелляционного суда от 13.09.2023, оставленным без изменения постановлением Арбитражного суда Московского округа от 24.11.2023, в удовлетворении заявления отказано. В кассационной жалобе Волчек А.С. просит о пересмотре постановления от 25.02.2022, возврате в первоначальное правовое положение квартиры, исключении квартиры из конкурсной массы, ссылаясь на приобретение квартиры не на средства залогового кредитора и недопустимость включения ее в конкурсную массу и продажи.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Заявленное должником обстоятельство не создает основания для пересмотра судебного акта в силу части 2 статьи 311 Арбитражного процессуального кодекса Российской Федерации, а требуемые последствия являются недостижимыми посредством применения названной нормы.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Волчеку Алексею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