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Третьего арбитражного апелляционного суда от 01.09.2023, оставленным без изменения постановлением Арбитражного суда Восточно-Сибирского округа от 20.10.2023, заявление возвращено на основании пунктов 2, 3 части 1 статьи 315 Арбитражного процессуального кодекса Российской Федерации. В кассационной жалобе ООО «ВСМК» просит о пересмотре судебных актов, ссылаясь на отсутствие пропуска срока на подачу заявления и неисправление допущенной судебной ошибки.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указал на неприведение истцом обстоятельств, которые обладают признаками, требуемыми частью 2 статьи 311 Арбитражного процессуального кодекса Российской Федерации для пересмотра постановления от 05.02.2021. В отношении срока подачи заявления выводы судов также соответствуют характеру обстоятельств, которые истец неосновательно, в отсутствие каких-либо выводов полиции об обстоятельствах утраты груза, кроме возбуждения по заявлению истца уголовного дела и приостановления предварительного дознания, считает значимыми.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«Восточносибирская металлургическая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ООО "Восточносибирская металлургическая Компания" (подробнее) Ответчики: ОАО "Российские железные дороги" (подробнее) Иные лица: Третий ААС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