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26.05.2023, оставленным без изменения постановлением Седьмого арбитражного апелляционного суда от 02.08.2023 и постановлением Арбитражного суда Западно-Сибирского округа от 27.10.2023, процедура реализации имущества гражданина завершена без применения правил об освобождении от дальнейшего исполнения обязательств перед кредиторами. В кассационной жалобе ФИО1 просит об отмене судебных актов в части неосвобождения ее от исполнения обязательств, ссылаясь на несоответствие вывода судов о ее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возникновения и исполнения обязательств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их исполнения. Иная оценка должником своих действий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Истцы: ООО "БСВ" (подробнее) ООО "Бутик финансовых решений" (подробнее) ООО "Сириус-Трейд" (подробнее) ООО "Феникс" (подробнее) ПАО "Сбербанк России" (подробнее) ПАО "Сбербанк России" в лице Сибирского банка "Сбербанк" (подробнее) Иные лица: АССОЦИАЦИЯ АРБИТРАЖНЫХ УПРАВЛЯЮЩИХ "ГАРАНТИЯ" (подробнее) Управление Федеральной налоговой службы по Республике Алтай (подробнее) Управление Федеральной службы государственной регистрации, кадастра и картографии по Республике Алтай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