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30.06.2023, оставленным без изменения постановлением Девятнадцатого арбитражного апелляционного суда от 31.08.2023 и постановлением Арбитражного суда Центрального округа от 04.12.2023, процедура реализации имущества гражданина завершена, должник освобождена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АО "Альфа-Банк" (подробнее) АО "Банк Русский Стандарт" (подробнее) АО "Тинькофф Банк" (подробнее) ООО КБ "Ренессанс Кредит" (подробнее) ООО "Траст" (подробнее) Иные лица: ААУ "ЦФОП АПК" (подробнее) ФНС России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