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Сахалинской области от 05.07.2023, оставленным без изменения постановлением Пятого арбитражного апелляционного суда от 30.08.2023 и постановлением Арбитражного суда Дальневосточного округа от 14.11.2023, в удовлетворении заявления отказано. В кассационной жалобе Трофимов В.А. просит о пересмотре судебных актов, ссылаясь на неправильную оценку заявленного обстоятельства.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у заявленного обстоятельства признаков, необходимых в силу части 3 статьи 311 Арбитражного процессуального кодекса Российской Федерации для пересмотра судебного акта. Руководствуясь статьями 291.6, 291.8,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Трофимову Владимиру Алексеевичу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