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Кемеровской области от 19.05.2023 в удовлетворении иска отказано. Седьмой арбитражный апелляционный суд постановлением от 10.08.2023 отменил решение от 19.05.2023 и удовлетворил иск в части взыскания 51 000 рублей убытков. Арбитражный суд Западно-Сибирского округа постановлением от 27.10.2023 постановление апелляционного суда от 10.08.2023 оставил без изменения. В кассационной жалобе ФИО1 просит об отмене судебных актов апелляционного и окружного судов, ссылаясь на предъявление требования к ненадлежащему ответчику.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установил, что ответственность ответчика основана на договоре с истцом, при исполнении которого у последнего возникли убытки, возложенные на ответчика в силу статей 10, 11 Федерального закона от 08.11.2007 № 259-ФЗ «Устав автомобильного транспорта и городского наземного электрического транспорта», статей 785 , 796 , 15 , 393 Гражданского кодекса Российской Федерации. Иная оценка обстоятельств спора не создает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ООО "Огнеупорно-топливная компания"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