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19.04.2023, оставленным без изменения постановлением Семнадцатого арбитражного апелляционного суда от 20.07.2023 и постановлением Арбитражного суда Уральского округа от 09.11.2023, в удовлетворении иска отказано в связи с пропуском срока исковой давности, о применении которой заявил ответчик. В кассационной жалобе общество «Синдикат» просит об отмене судебных актов, ссылаясь на игнорирование соблюдение срока исковой давности вследствие признания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заявителя, связанный с оценкой акта сверки расчетов в качестве обстоятельства, влияющего на исчисление срока исковой давности, получил оценку судов, которая в кассационном производстве не создает оснований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«Синдикат»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"Синдикат" (подробнее) Ответчики: АО УПРАВЛЯЮЩАЯ КОМПАНИЯ МЕТАЛЛИНВЕСТ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