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25.04.2023, оставленным без изменения постановлением Девятого арбитражного апелляционного суда от 28.06.2023 и постановлением Арбитражного суда Московского округа от 18.10.2023, заявление удовлетворено. В кассационной жалобе Хайлис А.Г. просит об отмене судебных актов, ссылаясь на отсутствие законных условий для недействительности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Суды установили нарушение пределов осуществления гражданских прав изменением во вред кредиторам должника статуса совместно нажитого имущества, влекущее недействительность брачного договора в силу статей 10, 168 Гражданского кодекса Российской Федерации. Иная оценка обстоятельств заключения договора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Хайлису Александру Гедольевичу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