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18.09.2023, оставленным без изменения постановлением Восьмого арбитражного апелляционного суда от 21.11.2023, в удовлетворении заявления отказано. В кассационной жалобе ФИО1 просит об отмене судебных актов, ссылаясь на игнорирование нарушения прав членов семьи должника, для которых спорная недвижимость является единственным жильем.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принятие оспариваемого решения в соответствии с компетенцией и без нарушения процедуры проведения собрания и признали отсутствие в силу статей 12, 15, 213.8 Федерального закона от 26.10.2002 № 127-ФЗ «О несостоятельности (банкротстве)» основания для недействительности решения по вопросу утверждения плана мероприятий по реализации единственного жилья должника и приобретении замещающего жилья, представленного финансовым управляющим. Соблюдение жилищных прав должника и других заинтересованных лиц вследствие реализации решения собрания является предметом самостоятельной проверки суда, на что указал апелляционный суд. Руководствуясь статьями 291 , 292.9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8 ААС (подробнее) ПАО Банк "Финансовая Корпорация Открытие" (подробнее) Тихонюк Ирина Павловна, Тихонюк Владимир Георгиевич, Тихонюк Василий Владимирович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