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04.07.2023, оставленным без изменения постановлением Двенадцатого арбитражного апелляционного суда от 06.09.2023 и постановлением Арбитражного суда Поволжского округа от 07.12.2023, разногласия разрешены: расходы на уплату транспортного налога в сумме 2 122 рублей признаны подлежащими погашению за счет выручки от реализации заложенного имущества до начала расчетов с кредиторами; расходы, связанные с реализацией предмета залога, за исключением расходов на хранение заложенного имущества, подлежат погашению в порядке, установленном пунктом 5 статьи 213.27 Федерального закона от 26.10.2002 № 127-ФЗ «О несостоятельности (банкротстве)»; расходы, связанные с хранением заложенного имущества (автомобиля марки LADA модель Vesta, 2018) не подлежат погашению. В кассационной жалобе ФИО1 просит об отмене судебных актов, указывая на противоречивость подходов к распределению вырученных от реализации предмета залога денежных средств и нарушение примененным судами подходом баланса интересов в пользу залогового кредитора при недостаточности денежных средств от реализации предмета залога для погашения всех предусмотренных законом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управляющего о противоречивых подходах судов к распределению вырученной от реализации предмета залога суммы опровергаются судебной практикой (пункт 14 Обзора судебной практики Верховного Суда Российской Федерации № 3 (2021), утвержденного Президиумом Верховного Суда Российской Федерации 10.11.2021).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№2 по Волгоградской области (подробнее) ПАО "Совкомбанк" (подробнее) Иные лица: Ассоциация "Саморегулируемая организация арбитражных управляющих "Меркурий" (подробнее) Финансовый управляющий Морозова О.Н.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