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05.06.2023, оставленным без изменения постановлением Двенадцатого арбитражного апелляционного суда от 26.07.2023 и постановлением Арбитражного суда Поволжского округа от 02.11.2023, заявление признано обоснованным, в отношении должника введена процедура реструктуризации долгов, требования банка включены в реестр, утвержден финансовый управляющий. В кассационной жалобе ФИО1 просит об отмене судебных актов, ссылаясь на неполучение кредита, принятие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банка, наличии и размере подлежащей включению в реестр задолженности основаны на представленных доказательствах и соответствуют статьям 213.3, 213.5, 213.6 Федерального закона от 26.10.2002 № 127-ФЗ «О несостоятельности (банкротстве)».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Истцы: АО ИНВЕСТТОРГБАНК (подробнее) Иные лица: Ассоциация "Московская СРО профессиональных АУ" (подробнее) Ассоциация МСОПАУ (подробнее) ООО "ФЭСО" (подробнее) Отдел адресно-справочной работы УФМС России по СО (подробнее) ФБУ Саратовская ЛСЭ Минюста России (подробнее) Финансовый управляющий Хомяков М.С. (подробнее) Ф/у Хомяков М.С.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