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04.05.2023, оставленным без изменения постановлением Девятого арбитражного апелляционного суда от 25.07.2023 и постановлением Арбитражного суда Московского округа от 17.10.2023, заявление удовлетворено. В кассационных жалобах ответчики просят об отмене судебных актов, ссылаясь на неисследование значимых обстоятельств и отсутствие законных условий для недействительности сделок, неправильное применение последствий,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совершение заинтересованными лицами за счет должника и в его интересе последовательных сделок во избежание обращения взыскания на приобретаемое имущество по обязательствам должника перед кредиторами в качестве условий для их недействительности в силу статей 10, 168, 170 Гражданского кодекса Российской Федерации и статей 61.1, 61.2 Федерального закона от 26.10.2002 № 127-ФЗ «О несостоятельности (банкротстве)». Доводу жалобы Ануровых Е.В. и. М.А. о непривлечении судом первой инстанции к участию в деле органа опеки и попечительства дана правовая оценка судов. Иная оценка подателями жалоб обстоятельств совершения сделок и их последствий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Сергееву Филиппу Олеговичу, Ануровой Елене Викторовне, Ануровой Марии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