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02.03.2023, оставленным без изменения постановлением Семнадцатого арбитражного апелляционного суда от 31.05.2023 и постановлением Арбитражного суда Уральского округа от 23.10.2023, первоначальные исковые требования удовлетворены в части взыскания 1 140 240 рублей задолженности, 24 877 рублей процентов за пользование чужими денежными средствами, встречные – в полном объеме; в результате зачета взысканных сумм с общества «РТС» в пользу концерна взыскано 4 318 980 рублей 62 копеек. В кассационной жалобе общество «АвтоТрейдер» просит об отмене судебных актов по встречному иску, ссылаясь на несоответствие выводов судов о повреждении груза в процессе перевозки фактическим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установив осуществление обществом «РТС» перевозки, характер повреждения груза и доказательства фиксации повреждения, руководствуясь статьями 15 , 393 , 793 , 796 Гражданского кодекса Российской Федерации, признали ответственность перевозчика за убытки.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«АвтоТрейдер»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РЕГИОНАЛЬНЫЙ ТРАНСПОРТНЫЙ СЕРВИС (подробнее) Ответчики: ОАО концерн Уралэлектроремонт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